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5C29" w14:textId="77777777" w:rsidR="00F07F8F" w:rsidRDefault="00F07F8F" w:rsidP="00B310B9">
      <w:pPr>
        <w:tabs>
          <w:tab w:val="left" w:pos="6886"/>
        </w:tabs>
        <w:rPr>
          <w:vertAlign w:val="subscript"/>
        </w:rPr>
      </w:pPr>
    </w:p>
    <w:p w14:paraId="272350CF" w14:textId="77777777" w:rsidR="001A0220" w:rsidRDefault="001A0220" w:rsidP="00B310B9">
      <w:pPr>
        <w:tabs>
          <w:tab w:val="left" w:pos="6886"/>
        </w:tabs>
        <w:rPr>
          <w:vertAlign w:val="subscript"/>
        </w:rPr>
      </w:pPr>
    </w:p>
    <w:p w14:paraId="10DFECB8" w14:textId="6832E7C1" w:rsidR="001A0220" w:rsidRDefault="001A0220" w:rsidP="00B310B9">
      <w:pPr>
        <w:tabs>
          <w:tab w:val="left" w:pos="6886"/>
        </w:tabs>
        <w:rPr>
          <w:vertAlign w:val="subscript"/>
        </w:rPr>
      </w:pPr>
    </w:p>
    <w:p w14:paraId="03F1BDEB" w14:textId="6C0F9BF0" w:rsidR="002419A8" w:rsidRDefault="002419A8" w:rsidP="00B310B9">
      <w:pPr>
        <w:tabs>
          <w:tab w:val="left" w:pos="6886"/>
        </w:tabs>
        <w:rPr>
          <w:vertAlign w:val="subscript"/>
        </w:rPr>
      </w:pPr>
    </w:p>
    <w:p w14:paraId="00AE2DC6" w14:textId="07DE28D9" w:rsidR="00C079F6" w:rsidRPr="00E33C92" w:rsidRDefault="002419A8" w:rsidP="00EE3D03">
      <w:pPr>
        <w:tabs>
          <w:tab w:val="left" w:pos="6886"/>
        </w:tabs>
      </w:pPr>
      <w:r w:rsidRPr="00E33C92">
        <w:t>Commissioner Rodney Ellis</w:t>
      </w:r>
    </w:p>
    <w:p w14:paraId="70A1426D" w14:textId="70EDEE9C" w:rsidR="002419A8" w:rsidRPr="00E33C92" w:rsidRDefault="002419A8" w:rsidP="00EE3D03">
      <w:pPr>
        <w:tabs>
          <w:tab w:val="left" w:pos="6886"/>
        </w:tabs>
      </w:pPr>
      <w:r w:rsidRPr="00E33C92">
        <w:t>Harris County Precinct One</w:t>
      </w:r>
    </w:p>
    <w:p w14:paraId="72E7BA79" w14:textId="199313B3" w:rsidR="002419A8" w:rsidRPr="00E33C92" w:rsidRDefault="002419A8" w:rsidP="00EE3D03">
      <w:pPr>
        <w:tabs>
          <w:tab w:val="left" w:pos="6886"/>
        </w:tabs>
      </w:pPr>
      <w:r w:rsidRPr="00E33C92">
        <w:t>1001 Preston, 9th Floor</w:t>
      </w:r>
    </w:p>
    <w:p w14:paraId="3A676A48" w14:textId="2964D007" w:rsidR="002419A8" w:rsidRPr="00E33C92" w:rsidRDefault="002419A8" w:rsidP="00EE3D03">
      <w:pPr>
        <w:tabs>
          <w:tab w:val="left" w:pos="6886"/>
        </w:tabs>
      </w:pPr>
      <w:r w:rsidRPr="00E33C92">
        <w:t>Houston, TX 77002</w:t>
      </w:r>
    </w:p>
    <w:p w14:paraId="1B8D71D0" w14:textId="1C54072A" w:rsidR="002419A8" w:rsidRPr="00E33C92" w:rsidRDefault="002419A8" w:rsidP="00B310B9">
      <w:pPr>
        <w:tabs>
          <w:tab w:val="left" w:pos="6886"/>
        </w:tabs>
      </w:pPr>
    </w:p>
    <w:p w14:paraId="5EA39E7D" w14:textId="5172496D" w:rsidR="002419A8" w:rsidRPr="00E33C92" w:rsidRDefault="002419A8" w:rsidP="00B310B9">
      <w:pPr>
        <w:tabs>
          <w:tab w:val="left" w:pos="6886"/>
        </w:tabs>
      </w:pPr>
      <w:r w:rsidRPr="00E33C92">
        <w:t>RE: Cleme Manor Tenant Protection Policy</w:t>
      </w:r>
    </w:p>
    <w:p w14:paraId="2877C359" w14:textId="158E04A0" w:rsidR="002419A8" w:rsidRPr="00E33C92" w:rsidRDefault="002419A8" w:rsidP="00B310B9">
      <w:pPr>
        <w:tabs>
          <w:tab w:val="left" w:pos="6886"/>
        </w:tabs>
      </w:pPr>
    </w:p>
    <w:p w14:paraId="0454390F" w14:textId="39999052" w:rsidR="002419A8" w:rsidRPr="00E33C92" w:rsidRDefault="002419A8" w:rsidP="00B310B9">
      <w:pPr>
        <w:tabs>
          <w:tab w:val="left" w:pos="6886"/>
        </w:tabs>
      </w:pPr>
      <w:r w:rsidRPr="00E33C92">
        <w:t>Dear Commissioner Ellis:</w:t>
      </w:r>
    </w:p>
    <w:p w14:paraId="534260E5" w14:textId="348C197E" w:rsidR="002419A8" w:rsidRPr="00E33C92" w:rsidRDefault="002419A8" w:rsidP="00B310B9">
      <w:pPr>
        <w:tabs>
          <w:tab w:val="left" w:pos="6886"/>
        </w:tabs>
      </w:pPr>
    </w:p>
    <w:p w14:paraId="2B7C2CF7" w14:textId="7CE43B7D" w:rsidR="00533858" w:rsidRDefault="00AC1EDC" w:rsidP="00AC1EDC">
      <w:pPr>
        <w:tabs>
          <w:tab w:val="left" w:pos="450"/>
        </w:tabs>
      </w:pPr>
      <w:r w:rsidRPr="00E33C92">
        <w:tab/>
      </w:r>
      <w:r w:rsidR="002419A8" w:rsidRPr="00E33C92">
        <w:t xml:space="preserve">We </w:t>
      </w:r>
      <w:r w:rsidR="00AB66B2" w:rsidRPr="00E33C92">
        <w:t xml:space="preserve">appreciate </w:t>
      </w:r>
      <w:r w:rsidR="00EA378A" w:rsidRPr="00E33C92">
        <w:t xml:space="preserve">and share </w:t>
      </w:r>
      <w:r w:rsidR="00AB66B2" w:rsidRPr="00E33C92">
        <w:t>your concern for the residents of Cleme Manor</w:t>
      </w:r>
      <w:r w:rsidR="00A77A19" w:rsidRPr="00E33C92">
        <w:t xml:space="preserve">, a </w:t>
      </w:r>
      <w:r w:rsidR="000477B9" w:rsidRPr="00E33C92">
        <w:t xml:space="preserve">multi-family property located at </w:t>
      </w:r>
      <w:r w:rsidR="00B21172">
        <w:t xml:space="preserve">5300 </w:t>
      </w:r>
      <w:r w:rsidR="00A34EB5">
        <w:t>Coke St., Houston, TX 770020</w:t>
      </w:r>
      <w:r w:rsidR="002419A8" w:rsidRPr="00E33C92">
        <w:t>.</w:t>
      </w:r>
      <w:r w:rsidR="00AB66B2" w:rsidRPr="00E33C92">
        <w:t xml:space="preserve">  As we have expressed, we</w:t>
      </w:r>
      <w:r w:rsidR="00365437" w:rsidRPr="00E33C92">
        <w:t xml:space="preserve"> are a nonprofit, mission driven organization that </w:t>
      </w:r>
      <w:r w:rsidR="009D12F1" w:rsidRPr="00E33C92">
        <w:t xml:space="preserve">endeavors to improve the lives of every resident living in our apartment communities.  </w:t>
      </w:r>
      <w:r w:rsidR="0005402A" w:rsidRPr="00E33C92">
        <w:t xml:space="preserve">We have taken action to address concerns at Cleme Manor and will continue to </w:t>
      </w:r>
      <w:r w:rsidR="00960991" w:rsidRPr="00E33C92">
        <w:t xml:space="preserve">make the health and well-being of Cleme residents our highest priority.  </w:t>
      </w:r>
    </w:p>
    <w:p w14:paraId="1F13EB5B" w14:textId="77777777" w:rsidR="00204034" w:rsidRDefault="00204034" w:rsidP="00AC1EDC">
      <w:pPr>
        <w:tabs>
          <w:tab w:val="left" w:pos="450"/>
        </w:tabs>
      </w:pPr>
    </w:p>
    <w:p w14:paraId="26B64FD3" w14:textId="789BBF24" w:rsidR="00286C43" w:rsidRPr="00E33C92" w:rsidRDefault="00204034" w:rsidP="00AC1EDC">
      <w:pPr>
        <w:tabs>
          <w:tab w:val="left" w:pos="450"/>
        </w:tabs>
      </w:pPr>
      <w:r>
        <w:tab/>
      </w:r>
      <w:r w:rsidR="006A5A27" w:rsidRPr="00E33C92">
        <w:t xml:space="preserve">As you have requested, we are happy to adopt the Tenant Rights </w:t>
      </w:r>
      <w:r w:rsidR="00704FF1" w:rsidRPr="00E33C92">
        <w:t xml:space="preserve">commitments agreed </w:t>
      </w:r>
      <w:r w:rsidR="000C6C12" w:rsidRPr="00E33C92">
        <w:t xml:space="preserve">to for 3300 Caroline </w:t>
      </w:r>
      <w:r w:rsidR="00087B99" w:rsidRPr="00E33C92">
        <w:t xml:space="preserve">at Cleme Manor.  Accordingly, </w:t>
      </w:r>
      <w:r w:rsidR="00554381" w:rsidRPr="00E33C92">
        <w:t>we have adopted the Tenant Rights provisions set forth in Attachment A hereto and agree to abide by them</w:t>
      </w:r>
      <w:r w:rsidR="0016173A" w:rsidRPr="00E33C92">
        <w:t xml:space="preserve"> at Cleme Manor throughout NHPF’s</w:t>
      </w:r>
      <w:r w:rsidR="00EA378A" w:rsidRPr="00E33C92">
        <w:t xml:space="preserve"> involvement in ownership of the property.  </w:t>
      </w:r>
    </w:p>
    <w:p w14:paraId="28BBA84E" w14:textId="610EAF06" w:rsidR="005301A3" w:rsidRPr="00E33C92" w:rsidRDefault="005301A3" w:rsidP="00AC1EDC">
      <w:pPr>
        <w:tabs>
          <w:tab w:val="left" w:pos="450"/>
        </w:tabs>
      </w:pPr>
    </w:p>
    <w:p w14:paraId="0B5D654E" w14:textId="35A84EBF" w:rsidR="005301A3" w:rsidRPr="00E33C92" w:rsidRDefault="005301A3" w:rsidP="00416261">
      <w:pPr>
        <w:tabs>
          <w:tab w:val="left" w:pos="450"/>
        </w:tabs>
      </w:pPr>
      <w:r w:rsidRPr="00E33C92">
        <w:tab/>
      </w:r>
      <w:r w:rsidR="00F462E7" w:rsidRPr="00E33C92">
        <w:t xml:space="preserve">We look forward to working together with Harris County to </w:t>
      </w:r>
      <w:r w:rsidR="00305C20" w:rsidRPr="00E33C92">
        <w:t xml:space="preserve">make Cleme Manor a place where residents </w:t>
      </w:r>
      <w:r w:rsidR="00F94505" w:rsidRPr="00E33C92">
        <w:t>grow and thrive.</w:t>
      </w:r>
    </w:p>
    <w:p w14:paraId="00960B34" w14:textId="77777777" w:rsidR="002419A8" w:rsidRPr="00E33C92" w:rsidRDefault="002419A8" w:rsidP="00B310B9">
      <w:pPr>
        <w:tabs>
          <w:tab w:val="left" w:pos="6886"/>
        </w:tabs>
      </w:pPr>
    </w:p>
    <w:p w14:paraId="37D8319E" w14:textId="77777777" w:rsidR="00286C43" w:rsidRPr="00E33C92" w:rsidRDefault="00286C43">
      <w:r w:rsidRPr="00E33C92">
        <w:t>Sincerely,</w:t>
      </w:r>
    </w:p>
    <w:p w14:paraId="64599BF9" w14:textId="7A7E7738" w:rsidR="00286C43" w:rsidRPr="00E33C92" w:rsidRDefault="00286C43"/>
    <w:p w14:paraId="60B093DB" w14:textId="712523C7" w:rsidR="00286C43" w:rsidRPr="00E33C92" w:rsidRDefault="00286C43"/>
    <w:p w14:paraId="38DA86B9" w14:textId="326F43BF" w:rsidR="00286C43" w:rsidRPr="00E33C92" w:rsidRDefault="00286C43"/>
    <w:p w14:paraId="7186B65F" w14:textId="580F5F5C" w:rsidR="00286C43" w:rsidRPr="00E33C92" w:rsidRDefault="00286C43"/>
    <w:p w14:paraId="60CA2835" w14:textId="77777777" w:rsidR="00286C43" w:rsidRPr="00E33C92" w:rsidRDefault="00286C43"/>
    <w:p w14:paraId="7EE02F7C" w14:textId="4477C100" w:rsidR="00416261" w:rsidRPr="00E33C92" w:rsidRDefault="00286C43">
      <w:r w:rsidRPr="00E33C92">
        <w:t>Neal Drobenare</w:t>
      </w:r>
      <w:r w:rsidR="00B14CC7">
        <w:t xml:space="preserve"> </w:t>
      </w:r>
    </w:p>
    <w:p w14:paraId="46586A99" w14:textId="694511EC" w:rsidR="00286C43" w:rsidRPr="00E33C92" w:rsidRDefault="00AE0B9F">
      <w:r>
        <w:t>Vice President</w:t>
      </w:r>
    </w:p>
    <w:p w14:paraId="6EC0BEB7" w14:textId="5DDEC5D5" w:rsidR="002419A8" w:rsidRDefault="002419A8">
      <w:r>
        <w:br w:type="page"/>
      </w:r>
    </w:p>
    <w:p w14:paraId="72082F44" w14:textId="173887DC" w:rsidR="002419A8" w:rsidRDefault="002419A8" w:rsidP="002419A8">
      <w:pPr>
        <w:jc w:val="center"/>
      </w:pPr>
      <w:r>
        <w:t>Attachment “A”</w:t>
      </w:r>
    </w:p>
    <w:p w14:paraId="0A43268E" w14:textId="6A7DAAA3" w:rsidR="002419A8" w:rsidRPr="002419A8" w:rsidRDefault="002419A8" w:rsidP="002419A8">
      <w:pPr>
        <w:jc w:val="center"/>
      </w:pPr>
      <w:r w:rsidRPr="002419A8">
        <w:t>TENANT RIGHTS</w:t>
      </w:r>
    </w:p>
    <w:p w14:paraId="4D2ABDD2" w14:textId="77777777" w:rsidR="002419A8" w:rsidRPr="002419A8" w:rsidRDefault="002419A8" w:rsidP="002419A8">
      <w:pPr>
        <w:jc w:val="center"/>
      </w:pPr>
    </w:p>
    <w:p w14:paraId="7BC10FE1" w14:textId="77777777" w:rsidR="002419A8" w:rsidRPr="002419A8" w:rsidRDefault="002419A8" w:rsidP="002419A8">
      <w:pPr>
        <w:ind w:left="720" w:hanging="720"/>
        <w:jc w:val="both"/>
      </w:pPr>
      <w:r w:rsidRPr="002419A8">
        <w:t>1.</w:t>
      </w:r>
      <w:r w:rsidRPr="002419A8">
        <w:tab/>
        <w:t>DEFINITIONS: For the purposes of this Exhibit “E-1”, the terms below will be defined as follows:</w:t>
      </w:r>
    </w:p>
    <w:p w14:paraId="388B2ED6" w14:textId="77777777" w:rsidR="002419A8" w:rsidRPr="002419A8" w:rsidRDefault="002419A8" w:rsidP="002419A8">
      <w:pPr>
        <w:ind w:left="1080" w:hanging="360"/>
        <w:jc w:val="both"/>
      </w:pPr>
      <w:r w:rsidRPr="002419A8">
        <w:t xml:space="preserve">a) </w:t>
      </w:r>
      <w:r w:rsidRPr="002419A8">
        <w:tab/>
        <w:t xml:space="preserve">“Director” means the Executive Director of the Harris County Community Services </w:t>
      </w:r>
      <w:proofErr w:type="gramStart"/>
      <w:r w:rsidRPr="002419A8">
        <w:t>Department;</w:t>
      </w:r>
      <w:proofErr w:type="gramEnd"/>
    </w:p>
    <w:p w14:paraId="4E90AA92" w14:textId="10B56FB1" w:rsidR="002419A8" w:rsidRPr="002419A8" w:rsidRDefault="002419A8" w:rsidP="002419A8">
      <w:pPr>
        <w:ind w:left="1080" w:hanging="360"/>
        <w:jc w:val="both"/>
      </w:pPr>
      <w:r w:rsidRPr="002419A8">
        <w:t>b)</w:t>
      </w:r>
      <w:r w:rsidRPr="002419A8">
        <w:tab/>
        <w:t xml:space="preserve">“Landlord” </w:t>
      </w:r>
      <w:r w:rsidRPr="00E67E73">
        <w:t xml:space="preserve">means </w:t>
      </w:r>
      <w:proofErr w:type="spellStart"/>
      <w:r w:rsidR="007F400B" w:rsidRPr="00E67E73">
        <w:t>Cleme</w:t>
      </w:r>
      <w:proofErr w:type="spellEnd"/>
      <w:r w:rsidR="007F400B" w:rsidRPr="00E67E73">
        <w:t xml:space="preserve"> </w:t>
      </w:r>
      <w:r w:rsidR="003A0454" w:rsidRPr="00BC38AF">
        <w:t>Manor Holdings, LLC</w:t>
      </w:r>
      <w:r w:rsidR="003A0454">
        <w:t xml:space="preserve"> </w:t>
      </w:r>
      <w:r w:rsidRPr="002419A8">
        <w:t>and the company or organization contracted to serve as the Property Manager for the Project known as the</w:t>
      </w:r>
      <w:r w:rsidR="00E33C92">
        <w:t xml:space="preserve"> </w:t>
      </w:r>
      <w:r w:rsidR="007F400B">
        <w:t xml:space="preserve">Cleme Manor located at </w:t>
      </w:r>
      <w:r w:rsidR="008271D7">
        <w:t>5300 Coke St., Houston, TX 770020</w:t>
      </w:r>
      <w:r w:rsidRPr="002419A8">
        <w:t xml:space="preserve">.  For all purposes in this Exhibit, any actions, statements or agreements reached by any party comprising the “Landlord” with the Tenant will be deemed as final and binding to all parties comprising the </w:t>
      </w:r>
      <w:proofErr w:type="gramStart"/>
      <w:r w:rsidRPr="002419A8">
        <w:t>Landlord;</w:t>
      </w:r>
      <w:proofErr w:type="gramEnd"/>
    </w:p>
    <w:p w14:paraId="1EEC9349" w14:textId="786852D9" w:rsidR="002419A8" w:rsidRPr="002419A8" w:rsidRDefault="002419A8" w:rsidP="002419A8">
      <w:pPr>
        <w:ind w:left="1080" w:hanging="360"/>
        <w:jc w:val="both"/>
      </w:pPr>
      <w:r w:rsidRPr="002419A8">
        <w:t>c)</w:t>
      </w:r>
      <w:r w:rsidRPr="002419A8">
        <w:tab/>
        <w:t>“Owner” means</w:t>
      </w:r>
      <w:r w:rsidR="007317C3">
        <w:t xml:space="preserve"> </w:t>
      </w:r>
      <w:proofErr w:type="spellStart"/>
      <w:r w:rsidR="003A0454">
        <w:t>Cleme</w:t>
      </w:r>
      <w:proofErr w:type="spellEnd"/>
      <w:r w:rsidR="003A0454">
        <w:t xml:space="preserve"> Manor Holdings, </w:t>
      </w:r>
      <w:proofErr w:type="gramStart"/>
      <w:r w:rsidR="003A0454">
        <w:t>LLC</w:t>
      </w:r>
      <w:r w:rsidRPr="0004222A">
        <w:t>;</w:t>
      </w:r>
      <w:proofErr w:type="gramEnd"/>
    </w:p>
    <w:p w14:paraId="74DB0EBD" w14:textId="3563D7BC" w:rsidR="002419A8" w:rsidRPr="002419A8" w:rsidRDefault="002419A8" w:rsidP="002419A8">
      <w:pPr>
        <w:ind w:left="1080" w:hanging="360"/>
        <w:jc w:val="both"/>
      </w:pPr>
      <w:r w:rsidRPr="002419A8">
        <w:t>d) “Payment Plan” refers to an arrangement reached between the Landlord and Tenant that allows the Tenant the opportunity to avoid further collection or eviction efforts regarding Rent it owes in exchange for Tenant’s adherence to a schedule of repayment meant to either bring Tenant current on its Rent or pay Landlord an agreed sum which Landlord will accept as full satisfaction for any current Rent delinquencies.  Although Landlord agrees to use it best efforts to work with Tenant for at least the sixty (60) period following the month Tenant fell behind on its Rent to create a reasonable Payment Plan, in no event will Landlord be required to accept re-payment terms that exceed a six (6) month period, but Landlord must agree to any proposed Payment Plan that would bring Tenant current on its Rent within a six (6) month period.</w:t>
      </w:r>
    </w:p>
    <w:p w14:paraId="12D163D8" w14:textId="77777777" w:rsidR="002419A8" w:rsidRPr="002419A8" w:rsidRDefault="002419A8" w:rsidP="002419A8">
      <w:pPr>
        <w:ind w:left="1080" w:hanging="360"/>
        <w:jc w:val="both"/>
      </w:pPr>
      <w:r w:rsidRPr="002419A8">
        <w:t>e) “Rent” means the regular monthly recurring charges Tenant is contractually obligated to pay the Landlord as a condition of being allowed to occupy a unit in the Project.  “Rent” specifically does not include any payments or benefits routinely paid to Landlord on Tenant’s behalf by a governmental entity or non-profit organization; and</w:t>
      </w:r>
    </w:p>
    <w:p w14:paraId="05F020A0" w14:textId="77777777" w:rsidR="002419A8" w:rsidRPr="002419A8" w:rsidRDefault="002419A8" w:rsidP="002419A8">
      <w:pPr>
        <w:ind w:left="1080" w:hanging="360"/>
        <w:jc w:val="both"/>
      </w:pPr>
      <w:r w:rsidRPr="002419A8">
        <w:t>f)</w:t>
      </w:r>
      <w:r w:rsidRPr="002419A8">
        <w:tab/>
        <w:t>“Tenant” means the resident or residents of one unit in the Project.</w:t>
      </w:r>
    </w:p>
    <w:p w14:paraId="682054B8" w14:textId="77777777" w:rsidR="002419A8" w:rsidRPr="002419A8" w:rsidRDefault="002419A8" w:rsidP="002419A8">
      <w:pPr>
        <w:ind w:left="1080" w:hanging="360"/>
        <w:jc w:val="both"/>
      </w:pPr>
    </w:p>
    <w:p w14:paraId="3B5EF255" w14:textId="77777777" w:rsidR="002419A8" w:rsidRPr="002419A8" w:rsidRDefault="002419A8" w:rsidP="002419A8">
      <w:pPr>
        <w:ind w:left="720" w:hanging="720"/>
        <w:jc w:val="both"/>
      </w:pPr>
      <w:r w:rsidRPr="002419A8">
        <w:t>2.</w:t>
      </w:r>
      <w:r w:rsidRPr="002419A8">
        <w:tab/>
        <w:t>NOTICE TO VACATE:  Landlord agrees that (a) it will not deliver or post a “Notice to Vacate” to a Tenant unless and until that Tenant has been behind on Rent for at least thirty (30) consecutive days; (b) it will not deliver or post a “Second Notice to Vacate” to a Tenant unless and until that Tenant has either (</w:t>
      </w:r>
      <w:proofErr w:type="spellStart"/>
      <w:r w:rsidRPr="002419A8">
        <w:t>i</w:t>
      </w:r>
      <w:proofErr w:type="spellEnd"/>
      <w:r w:rsidRPr="002419A8">
        <w:t xml:space="preserve">) failed to establish a Payment Plan with Landlord and (ii) has remained behind in Rent for at least thirty (30) days following the receipt or posting of the initial Notice to Vacate.  Landlord agrees to schedule a meeting with any Tenant remining behind in Rent for twenty (20) days following the Second Notice to Vacate to make a final attempt to make arrangements for a Payment Plan.  Should Tenant fail to agree to a Payment Plan within ten (10) days following that meeting, Landlord, may proceed to enforce its rights under the lease and at law, provided that prior to filing any eviction proceeding, Landlord agrees to deliver or post a Final Notice to Vacate with a three (3) day grace period.  Landlord agrees in no event will it file for eviction proceedings until the expiration of both thirty (30) day periods.  If, following the delivery or posting of a Notice to Vacate, Tenant fails to adhere to the terms of any Payment Plan, the Landlord will only be required to deliver or post a Second Notice to Vacate if it had not provided such prior to Tenant agreeing to the Payment Plan. </w:t>
      </w:r>
    </w:p>
    <w:p w14:paraId="44837867" w14:textId="77777777" w:rsidR="002419A8" w:rsidRPr="002419A8" w:rsidRDefault="002419A8" w:rsidP="002419A8">
      <w:pPr>
        <w:ind w:left="720" w:hanging="720"/>
        <w:jc w:val="both"/>
      </w:pPr>
    </w:p>
    <w:p w14:paraId="02AED2E0" w14:textId="77777777" w:rsidR="002419A8" w:rsidRPr="002419A8" w:rsidRDefault="002419A8" w:rsidP="002419A8">
      <w:pPr>
        <w:ind w:left="720" w:hanging="720"/>
        <w:jc w:val="both"/>
      </w:pPr>
      <w:r w:rsidRPr="002419A8">
        <w:t>3.</w:t>
      </w:r>
      <w:r w:rsidRPr="002419A8">
        <w:tab/>
        <w:t>PUBLIC ASSISTANCE:</w:t>
      </w:r>
    </w:p>
    <w:p w14:paraId="07DC8B7C" w14:textId="77777777" w:rsidR="002419A8" w:rsidRPr="002419A8" w:rsidRDefault="002419A8" w:rsidP="002419A8">
      <w:pPr>
        <w:ind w:left="720" w:hanging="720"/>
        <w:jc w:val="both"/>
      </w:pPr>
    </w:p>
    <w:p w14:paraId="32DFB8B1" w14:textId="77777777" w:rsidR="002419A8" w:rsidRPr="002419A8" w:rsidRDefault="002419A8" w:rsidP="002419A8">
      <w:pPr>
        <w:ind w:left="720"/>
        <w:jc w:val="both"/>
      </w:pPr>
      <w:r w:rsidRPr="002419A8">
        <w:t>A.</w:t>
      </w:r>
      <w:r w:rsidRPr="002419A8">
        <w:tab/>
        <w:t>Landlord will provide a list of local governmental or other organizations the Tenant may contact to request assistance in either bringing it current with its Rent or helping Tenant meet the obligations of its Payment Plan.  Landlord agrees to accept all forms of assistance received by Tenant, provided that the assistance is received within forty-five (45) days of Tenant being approved for such assistance.  Landlord also agrees to provide its list of governmental or other organizations that provide rental assistance both prominently on its website and at the rental office on-site.</w:t>
      </w:r>
    </w:p>
    <w:p w14:paraId="4BBD21F4" w14:textId="77777777" w:rsidR="002419A8" w:rsidRPr="002419A8" w:rsidRDefault="002419A8" w:rsidP="002419A8">
      <w:pPr>
        <w:ind w:left="720"/>
        <w:jc w:val="both"/>
      </w:pPr>
    </w:p>
    <w:p w14:paraId="31CC590F" w14:textId="77777777" w:rsidR="002419A8" w:rsidRPr="002419A8" w:rsidRDefault="002419A8" w:rsidP="002419A8">
      <w:pPr>
        <w:ind w:left="720"/>
        <w:jc w:val="both"/>
      </w:pPr>
      <w:r w:rsidRPr="002419A8">
        <w:t>B.</w:t>
      </w:r>
      <w:r w:rsidRPr="002419A8">
        <w:tab/>
        <w:t>If any Tenant who receives monthly governmental or other benefits paid to Landlord as a part of its routine monthly charges to Landlord in exchange for a utility service paid to Landlord or in exchange for an amount that would otherwise be payable by the Tenant as Rent continues to be current on its Rent, but experiences a shortfall or disruption in the payment of those governmental or other benefits, such shortfall will not constitute Tenant being behind on its Rent and will not constitute grounds for Tenant’s eviction or other collection efforts.  In such event, Landlord will work with the governmental entity or other organization in an attempt to resolve the interruption in benefits.</w:t>
      </w:r>
    </w:p>
    <w:p w14:paraId="0781544B" w14:textId="77777777" w:rsidR="002419A8" w:rsidRPr="002419A8" w:rsidRDefault="002419A8" w:rsidP="002419A8">
      <w:pPr>
        <w:ind w:left="720" w:hanging="720"/>
        <w:jc w:val="both"/>
      </w:pPr>
    </w:p>
    <w:p w14:paraId="078B6B6F" w14:textId="77777777" w:rsidR="002419A8" w:rsidRPr="002419A8" w:rsidRDefault="002419A8" w:rsidP="002419A8">
      <w:pPr>
        <w:ind w:left="720" w:hanging="720"/>
        <w:jc w:val="both"/>
      </w:pPr>
      <w:r w:rsidRPr="002419A8">
        <w:t>4.</w:t>
      </w:r>
      <w:r w:rsidRPr="002419A8">
        <w:tab/>
        <w:t>SPECIAL NEEDS TENANTS:  Regarding any Tenants that are under a guardianship or other form of community supervision and support, Landlord agrees to contact the appropriate representative or case worker for the Tenant and to work directly with such representative in making any demands, requests or establishing a Payment Plan.</w:t>
      </w:r>
    </w:p>
    <w:p w14:paraId="0AA53EEB" w14:textId="77777777" w:rsidR="002419A8" w:rsidRPr="002419A8" w:rsidRDefault="002419A8" w:rsidP="002419A8">
      <w:pPr>
        <w:ind w:left="720" w:hanging="720"/>
        <w:jc w:val="both"/>
      </w:pPr>
    </w:p>
    <w:p w14:paraId="006B7CB1" w14:textId="77777777" w:rsidR="002419A8" w:rsidRPr="002419A8" w:rsidRDefault="002419A8" w:rsidP="002419A8">
      <w:pPr>
        <w:ind w:left="720" w:hanging="720"/>
        <w:jc w:val="both"/>
      </w:pPr>
      <w:r w:rsidRPr="002419A8">
        <w:t>5.</w:t>
      </w:r>
      <w:r w:rsidRPr="002419A8">
        <w:tab/>
        <w:t>EVICTION PROCEEDINGS:</w:t>
      </w:r>
    </w:p>
    <w:p w14:paraId="369B3212" w14:textId="77777777" w:rsidR="002419A8" w:rsidRPr="002419A8" w:rsidRDefault="002419A8" w:rsidP="002419A8">
      <w:pPr>
        <w:ind w:left="720" w:hanging="720"/>
        <w:jc w:val="both"/>
      </w:pPr>
    </w:p>
    <w:p w14:paraId="7ADCB6FA" w14:textId="77777777" w:rsidR="002419A8" w:rsidRPr="002419A8" w:rsidRDefault="002419A8" w:rsidP="002419A8">
      <w:pPr>
        <w:ind w:left="720"/>
        <w:jc w:val="both"/>
      </w:pPr>
      <w:r w:rsidRPr="002419A8">
        <w:t>A.</w:t>
      </w:r>
      <w:r w:rsidRPr="002419A8">
        <w:tab/>
        <w:t>Should a Tenant continue to remain behind on its Rent for such period as to permit Landlord to file eviction proceedings against Tenant, but prior to the judgement of the eviction being issued, the Tenant either enters into a Payment Plan with Landlord or becomes current on its Rent, Landlord agrees to dismiss the eviction proceeding or take other measures to prevent the court from issuing a judgement in the eviction proceeding.</w:t>
      </w:r>
    </w:p>
    <w:p w14:paraId="00648358" w14:textId="77777777" w:rsidR="002419A8" w:rsidRPr="002419A8" w:rsidRDefault="002419A8" w:rsidP="002419A8">
      <w:pPr>
        <w:ind w:left="720"/>
        <w:jc w:val="both"/>
      </w:pPr>
    </w:p>
    <w:p w14:paraId="2B0F7773" w14:textId="77777777" w:rsidR="002419A8" w:rsidRPr="002419A8" w:rsidRDefault="002419A8" w:rsidP="002419A8">
      <w:pPr>
        <w:ind w:left="720"/>
        <w:jc w:val="both"/>
      </w:pPr>
      <w:r w:rsidRPr="002419A8">
        <w:t>B.</w:t>
      </w:r>
      <w:r w:rsidRPr="002419A8">
        <w:tab/>
        <w:t>Except as provided above, Landlord agrees that Tenants may only be evicted for criminal activity posing a threat to residents or staff of the Project, repeated criminal violations, repeated lease violations, expiration of a temporary tenancy period for transitional housing, or Tenant’s failure to vacate following the expiration of the residency period specified in the lease with Tenant (provided Landlord can demonstrate that it was abiding by its tenant selection procedures and policies in a uniform and non-discriminatory manner in its decision to not renew the Tenant’s lease at the Project).</w:t>
      </w:r>
    </w:p>
    <w:p w14:paraId="0B663E44" w14:textId="77777777" w:rsidR="002419A8" w:rsidRPr="002419A8" w:rsidRDefault="002419A8" w:rsidP="002419A8">
      <w:pPr>
        <w:ind w:left="720" w:hanging="720"/>
        <w:jc w:val="both"/>
      </w:pPr>
    </w:p>
    <w:p w14:paraId="6C6F5D24" w14:textId="77777777" w:rsidR="002419A8" w:rsidRPr="002419A8" w:rsidRDefault="002419A8" w:rsidP="002419A8">
      <w:pPr>
        <w:ind w:left="720" w:hanging="720"/>
        <w:jc w:val="both"/>
      </w:pPr>
      <w:r w:rsidRPr="002419A8">
        <w:t>6.</w:t>
      </w:r>
      <w:r w:rsidRPr="002419A8">
        <w:tab/>
        <w:t xml:space="preserve">TENANT SCREENING:  Landlord agrees to have written Tenant selection procedures and policies and make such procedures and policies readily available (including prominently posting the same in the on-site rental office, displaying them prominently on the website for the Project, and providing those who request the same a written copy upon request).  In addition to Tenant selection procedures and policies, Landlord agrees to follow all applicable Fair Housing Laws and other federal, </w:t>
      </w:r>
      <w:proofErr w:type="gramStart"/>
      <w:r w:rsidRPr="002419A8">
        <w:t>state</w:t>
      </w:r>
      <w:proofErr w:type="gramEnd"/>
      <w:r w:rsidRPr="002419A8">
        <w:t xml:space="preserve"> or local laws prohibiting certain forms of discrimination.  Landlord hereby agrees that a prospective Tenant may not be denied an application or residency based on (a) any derogatory eviction history if the same has been dismissed or is older than thirty-six (36) months; (b) any derogatory credit history provided Tenant can show record of consistent and timely rent payments; or (c) a previous criminal record.</w:t>
      </w:r>
    </w:p>
    <w:p w14:paraId="07550EE4" w14:textId="77777777" w:rsidR="002419A8" w:rsidRPr="002419A8" w:rsidRDefault="002419A8" w:rsidP="002419A8">
      <w:pPr>
        <w:ind w:left="720" w:hanging="720"/>
        <w:jc w:val="both"/>
      </w:pPr>
    </w:p>
    <w:p w14:paraId="6528E804" w14:textId="77777777" w:rsidR="002419A8" w:rsidRPr="002419A8" w:rsidRDefault="002419A8" w:rsidP="002419A8">
      <w:pPr>
        <w:ind w:left="720" w:hanging="720"/>
        <w:jc w:val="both"/>
      </w:pPr>
      <w:r w:rsidRPr="002419A8">
        <w:t>7.</w:t>
      </w:r>
      <w:r w:rsidRPr="002419A8">
        <w:tab/>
        <w:t>PROPERTY CONDITION:</w:t>
      </w:r>
    </w:p>
    <w:p w14:paraId="6D59BB37" w14:textId="77777777" w:rsidR="002419A8" w:rsidRPr="002419A8" w:rsidRDefault="002419A8" w:rsidP="002419A8">
      <w:pPr>
        <w:ind w:left="720" w:hanging="720"/>
        <w:jc w:val="both"/>
      </w:pPr>
    </w:p>
    <w:p w14:paraId="26701E0D" w14:textId="05DBA1B6" w:rsidR="002419A8" w:rsidRPr="002419A8" w:rsidRDefault="002419A8" w:rsidP="002419A8">
      <w:pPr>
        <w:ind w:left="720" w:hanging="720"/>
        <w:jc w:val="both"/>
      </w:pPr>
      <w:r w:rsidRPr="002419A8">
        <w:tab/>
        <w:t>A.</w:t>
      </w:r>
      <w:r w:rsidRPr="002419A8">
        <w:tab/>
        <w:t>Landlord will permit and cooperate with no less frequently than an annual on-site Housing Quality Standards inspection of the Project by representatives or contractors for the Harris County Community Services Department (HCCSD).  In addition, Landlord will provide, within ten (10) days of Landlord’s receipt, copies of any and all inspection reports conducted by or governmental monitoring functions (i.e</w:t>
      </w:r>
      <w:r w:rsidR="00BF1892">
        <w:t>.,</w:t>
      </w:r>
      <w:r w:rsidRPr="002419A8">
        <w:t xml:space="preserve"> Texas Department of Housing and Community Affairs, the Harris County Housing </w:t>
      </w:r>
      <w:proofErr w:type="gramStart"/>
      <w:r w:rsidRPr="002419A8">
        <w:t>Authority</w:t>
      </w:r>
      <w:proofErr w:type="gramEnd"/>
      <w:r w:rsidRPr="002419A8">
        <w:t xml:space="preserve"> or the Houston Housing Authority).</w:t>
      </w:r>
    </w:p>
    <w:p w14:paraId="363D8FF2" w14:textId="77777777" w:rsidR="002419A8" w:rsidRPr="002419A8" w:rsidRDefault="002419A8" w:rsidP="002419A8">
      <w:pPr>
        <w:ind w:left="720" w:hanging="720"/>
        <w:jc w:val="both"/>
      </w:pPr>
    </w:p>
    <w:p w14:paraId="72C80BBB" w14:textId="77777777" w:rsidR="002419A8" w:rsidRPr="002419A8" w:rsidRDefault="002419A8" w:rsidP="002419A8">
      <w:pPr>
        <w:ind w:left="720" w:hanging="720"/>
        <w:jc w:val="both"/>
      </w:pPr>
      <w:r w:rsidRPr="002419A8">
        <w:tab/>
        <w:t>B.</w:t>
      </w:r>
      <w:r w:rsidRPr="002419A8">
        <w:tab/>
        <w:t>Landlord will institute a system, which will not be limited to computer or on-line based submissions, available to Tenants to submit requests for repairs.  All submissions by Tenants will be made available to HCCSD upon request.  Landlord will be deemed to have knowledge of any condition on or affecting the Property upon such request being submitted through this system.</w:t>
      </w:r>
    </w:p>
    <w:p w14:paraId="7F76F672" w14:textId="77777777" w:rsidR="002419A8" w:rsidRPr="002419A8" w:rsidRDefault="002419A8" w:rsidP="002419A8">
      <w:pPr>
        <w:ind w:left="720" w:hanging="720"/>
        <w:jc w:val="both"/>
      </w:pPr>
    </w:p>
    <w:p w14:paraId="11D97AD0" w14:textId="77777777" w:rsidR="002419A8" w:rsidRPr="002419A8" w:rsidRDefault="002419A8" w:rsidP="002419A8">
      <w:pPr>
        <w:ind w:left="720" w:hanging="720"/>
        <w:jc w:val="both"/>
      </w:pPr>
      <w:r w:rsidRPr="002419A8">
        <w:tab/>
        <w:t>C.</w:t>
      </w:r>
      <w:r w:rsidRPr="002419A8">
        <w:tab/>
        <w:t>If Landlord knows or should know of any hazardous condition on or affecting the Property, Landlord agrees to remediate the same within seven (7) days following the date Landlord becomes aware of the same.</w:t>
      </w:r>
    </w:p>
    <w:p w14:paraId="5F4939BA" w14:textId="77777777" w:rsidR="002419A8" w:rsidRPr="002419A8" w:rsidRDefault="002419A8" w:rsidP="002419A8">
      <w:pPr>
        <w:ind w:left="720" w:hanging="720"/>
        <w:jc w:val="both"/>
      </w:pPr>
    </w:p>
    <w:p w14:paraId="17388F4E" w14:textId="77777777" w:rsidR="002419A8" w:rsidRPr="002419A8" w:rsidRDefault="002419A8" w:rsidP="002419A8">
      <w:pPr>
        <w:ind w:left="720" w:hanging="720"/>
        <w:jc w:val="both"/>
      </w:pPr>
      <w:r w:rsidRPr="002419A8">
        <w:tab/>
        <w:t>D.</w:t>
      </w:r>
      <w:r w:rsidRPr="002419A8">
        <w:tab/>
        <w:t>Landlord agrees to repair and maintain all elements of the Project, even if the same is due to an act or omission of Tenant.  However, Landlord, following the completion of such repair, retains all rights to retain any applicable portion of a Tenant’s security deposit (if any) and/or pursue collection of such amount against Tenant through the judicial system.</w:t>
      </w:r>
    </w:p>
    <w:p w14:paraId="6FDE6B0A" w14:textId="77777777" w:rsidR="002419A8" w:rsidRPr="002419A8" w:rsidRDefault="002419A8" w:rsidP="002419A8">
      <w:pPr>
        <w:ind w:left="720" w:hanging="720"/>
        <w:jc w:val="both"/>
      </w:pPr>
    </w:p>
    <w:p w14:paraId="42BD5851" w14:textId="1CAFC561" w:rsidR="002419A8" w:rsidRPr="002419A8" w:rsidRDefault="002419A8" w:rsidP="002419A8">
      <w:pPr>
        <w:ind w:left="720" w:hanging="720"/>
        <w:jc w:val="both"/>
      </w:pPr>
      <w:r w:rsidRPr="002419A8">
        <w:tab/>
        <w:t>E.</w:t>
      </w:r>
      <w:r w:rsidRPr="002419A8">
        <w:tab/>
      </w:r>
      <w:r w:rsidR="008E2DC0">
        <w:t xml:space="preserve">Landlord </w:t>
      </w:r>
      <w:r w:rsidR="003B3867">
        <w:t xml:space="preserve">must </w:t>
      </w:r>
      <w:r w:rsidR="008E2DC0">
        <w:t xml:space="preserve">comply with all </w:t>
      </w:r>
      <w:r w:rsidR="003B3867">
        <w:t xml:space="preserve">United States Department of Housing and Urban Development (HUD) </w:t>
      </w:r>
      <w:r w:rsidR="008E2DC0">
        <w:t>reserve requirements</w:t>
      </w:r>
      <w:r w:rsidR="003B3867">
        <w:t>.</w:t>
      </w:r>
      <w:r w:rsidR="008E2DC0">
        <w:t xml:space="preserve"> </w:t>
      </w:r>
      <w:r w:rsidR="00DB1162">
        <w:t>Landlord has an established reserve account</w:t>
      </w:r>
      <w:r w:rsidR="00560474">
        <w:t xml:space="preserve"> (the “Reserve Account”)</w:t>
      </w:r>
      <w:r w:rsidR="00EF155C">
        <w:t xml:space="preserve"> with a </w:t>
      </w:r>
      <w:r w:rsidR="000E044A">
        <w:t xml:space="preserve">minimum </w:t>
      </w:r>
      <w:r w:rsidR="003B3867">
        <w:t xml:space="preserve">HUD </w:t>
      </w:r>
      <w:r w:rsidR="000E044A">
        <w:t>required balance of $284,000.00</w:t>
      </w:r>
      <w:r w:rsidR="00C17B4B">
        <w:t>.  The Reserve Account</w:t>
      </w:r>
      <w:r w:rsidR="00DE11C6">
        <w:t xml:space="preserve"> shall</w:t>
      </w:r>
      <w:r w:rsidR="00C17B4B">
        <w:t xml:space="preserve"> be used to maintain the safety and quality of life for the residents of the Project </w:t>
      </w:r>
      <w:r w:rsidR="00CA5BFB">
        <w:t xml:space="preserve">and shall </w:t>
      </w:r>
      <w:r w:rsidR="00DE11C6">
        <w:t xml:space="preserve">continue to </w:t>
      </w:r>
      <w:r w:rsidR="00CA5BFB">
        <w:t xml:space="preserve">be </w:t>
      </w:r>
      <w:r w:rsidR="00F8168F">
        <w:t xml:space="preserve">funded in accord with all applicable HUD </w:t>
      </w:r>
      <w:r w:rsidR="00DF6F9F">
        <w:t>rules and guidelines</w:t>
      </w:r>
      <w:r w:rsidR="00DE11C6">
        <w:t>.</w:t>
      </w:r>
      <w:r w:rsidR="00DC19A9">
        <w:t xml:space="preserve">  </w:t>
      </w:r>
      <w:r w:rsidRPr="002419A8">
        <w:t xml:space="preserve">  </w:t>
      </w:r>
    </w:p>
    <w:p w14:paraId="74F1F4AA" w14:textId="77777777" w:rsidR="002419A8" w:rsidRPr="002419A8" w:rsidRDefault="002419A8" w:rsidP="002419A8">
      <w:pPr>
        <w:ind w:left="720" w:hanging="720"/>
        <w:jc w:val="both"/>
      </w:pPr>
    </w:p>
    <w:p w14:paraId="0144046A" w14:textId="770D1B0C" w:rsidR="002419A8" w:rsidRPr="002419A8" w:rsidRDefault="002419A8" w:rsidP="002419A8">
      <w:pPr>
        <w:ind w:left="720" w:hanging="720"/>
        <w:jc w:val="both"/>
      </w:pPr>
      <w:r w:rsidRPr="002419A8">
        <w:t>8.</w:t>
      </w:r>
      <w:r w:rsidRPr="002419A8">
        <w:tab/>
        <w:t>TENANT RELOCATION: If a Tenant is required to move out of the Project due to any repair, replacement, transfer sale or renovation of the unit or the Project, Landlord will provide relocation assistance to Tenant in a manner to as closely as possible mirror the living conditions (regrading location, cost, proximity to community resources, etc.) the Tenant enjoyed while residing at the Project.  Upon the completion of such repairs or renovations which necessitated Tenant’s relocation, Landlord will permit Tenant to return to their previous unit or a comparable unit within the Project.</w:t>
      </w:r>
    </w:p>
    <w:p w14:paraId="296A044A" w14:textId="77777777" w:rsidR="002419A8" w:rsidRPr="002419A8" w:rsidRDefault="002419A8" w:rsidP="002419A8">
      <w:pPr>
        <w:ind w:left="720" w:hanging="720"/>
        <w:jc w:val="both"/>
      </w:pPr>
    </w:p>
    <w:p w14:paraId="6333640C" w14:textId="77777777" w:rsidR="002419A8" w:rsidRPr="002419A8" w:rsidRDefault="002419A8" w:rsidP="002419A8">
      <w:pPr>
        <w:ind w:left="720" w:hanging="720"/>
        <w:jc w:val="both"/>
      </w:pPr>
      <w:r w:rsidRPr="002419A8">
        <w:t>9.</w:t>
      </w:r>
      <w:r w:rsidRPr="002419A8">
        <w:tab/>
        <w:t>TENANT ACCESS TO INFORMATION:  Landlord will permit Tenant to review and copy any documents signed by Tenant or otherwise provided to Tenant as part of Landlord’s selection and on-boarding process.  Such requirements include, lease agreements, rental application, and any Addendum or supplemental document outlining the rights of Tenant.</w:t>
      </w:r>
    </w:p>
    <w:p w14:paraId="45920B8B" w14:textId="77777777" w:rsidR="002419A8" w:rsidRPr="002419A8" w:rsidRDefault="002419A8" w:rsidP="002419A8">
      <w:pPr>
        <w:ind w:left="720" w:hanging="720"/>
        <w:jc w:val="both"/>
      </w:pPr>
    </w:p>
    <w:p w14:paraId="0ED1BA4D" w14:textId="77777777" w:rsidR="002419A8" w:rsidRPr="002419A8" w:rsidRDefault="002419A8" w:rsidP="002419A8">
      <w:pPr>
        <w:ind w:left="720" w:hanging="720"/>
        <w:jc w:val="both"/>
      </w:pPr>
      <w:r w:rsidRPr="002419A8">
        <w:t>10.</w:t>
      </w:r>
      <w:r w:rsidRPr="002419A8">
        <w:tab/>
        <w:t>RIGHT TO PARTICIPATE IN TENANT ORGANIZATION: Landlord will permit each Tenant to conduct activities on the Project related to or establishing a Tenant organization, including hosting a Tenant organizer at the Project.  Landlord will not limit access or use of any common areas for such activities outside of the uniform and non-discriminatory compliance with reasonable policies and procedures applicable to the Project or applicable law.  Landlord will adhere to all policies and procedures applicable to the Project, including the enforcement of restrictions on actions or failures of Tenant that could trigger an eviction proceeding or other enforcement or collection efforts by Landlord, in a uniform and non-discriminatory manner.  Landlord’s obligations pursuant to this Section also specifically extend to prohibit the non-uniform or discriminatory treatment of Tenant’s that have lodged or issued complaints against Landlord.  Landlord agrees that any waiver of a Tenant’s right to participate in a class or collective action and any waiver of Tenant’s right to a trial by jury in any lease or other contractual provision will have no effect.</w:t>
      </w:r>
    </w:p>
    <w:p w14:paraId="76B1F6BE" w14:textId="6C22F09D" w:rsidR="002419A8" w:rsidRPr="002419A8" w:rsidRDefault="002419A8" w:rsidP="00EC4FFA">
      <w:pPr>
        <w:jc w:val="both"/>
      </w:pPr>
    </w:p>
    <w:p w14:paraId="2453CC70" w14:textId="77777777" w:rsidR="002419A8" w:rsidRPr="002419A8" w:rsidRDefault="002419A8" w:rsidP="002419A8">
      <w:pPr>
        <w:ind w:left="720"/>
        <w:jc w:val="both"/>
      </w:pPr>
    </w:p>
    <w:p w14:paraId="79890850" w14:textId="3195C318" w:rsidR="001A0220" w:rsidRPr="008F2010" w:rsidRDefault="001A0220" w:rsidP="00866862">
      <w:pPr>
        <w:ind w:left="720"/>
        <w:rPr>
          <w:vertAlign w:val="subscript"/>
        </w:rPr>
      </w:pPr>
    </w:p>
    <w:sectPr w:rsidR="001A0220" w:rsidRPr="008F2010" w:rsidSect="007A24C0">
      <w:headerReference w:type="default" r:id="rId8"/>
      <w:headerReference w:type="first" r:id="rId9"/>
      <w:footerReference w:type="first" r:id="rId10"/>
      <w:type w:val="continuous"/>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8119" w14:textId="77777777" w:rsidR="00F847B4" w:rsidRDefault="00F847B4">
      <w:r>
        <w:separator/>
      </w:r>
    </w:p>
  </w:endnote>
  <w:endnote w:type="continuationSeparator" w:id="0">
    <w:p w14:paraId="136DB27A" w14:textId="77777777" w:rsidR="00F847B4" w:rsidRDefault="00F8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4D"/>
    <w:family w:val="roman"/>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9DDE" w14:textId="77777777" w:rsidR="00A45B88" w:rsidRDefault="001A0220" w:rsidP="00A45B88">
    <w:r>
      <w:rPr>
        <w:noProof/>
      </w:rPr>
      <w:drawing>
        <wp:anchor distT="0" distB="0" distL="114300" distR="114300" simplePos="0" relativeHeight="251662336" behindDoc="1" locked="0" layoutInCell="1" allowOverlap="1" wp14:anchorId="4CCEFAE6" wp14:editId="7F53199F">
          <wp:simplePos x="0" y="0"/>
          <wp:positionH relativeFrom="column">
            <wp:posOffset>-885825</wp:posOffset>
          </wp:positionH>
          <wp:positionV relativeFrom="paragraph">
            <wp:posOffset>-833755</wp:posOffset>
          </wp:positionV>
          <wp:extent cx="7772400" cy="990261"/>
          <wp:effectExtent l="0" t="0" r="0" b="63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stretch>
                    <a:fillRect/>
                  </a:stretch>
                </pic:blipFill>
                <pic:spPr>
                  <a:xfrm>
                    <a:off x="0" y="0"/>
                    <a:ext cx="7772400" cy="99026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83D3" w14:textId="77777777" w:rsidR="00F847B4" w:rsidRDefault="00F847B4">
      <w:r>
        <w:separator/>
      </w:r>
    </w:p>
  </w:footnote>
  <w:footnote w:type="continuationSeparator" w:id="0">
    <w:p w14:paraId="5854CA23" w14:textId="77777777" w:rsidR="00F847B4" w:rsidRDefault="00F8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2656" w14:textId="77777777" w:rsidR="00474432" w:rsidRDefault="00474432" w:rsidP="00474432">
    <w:pPr>
      <w:pStyle w:val="Header"/>
    </w:pPr>
  </w:p>
  <w:p w14:paraId="0F0B8457" w14:textId="77777777" w:rsidR="00474432" w:rsidRDefault="00474432" w:rsidP="0047443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0735" w14:textId="77777777" w:rsidR="008F2010" w:rsidRDefault="001A0220">
    <w:pPr>
      <w:pStyle w:val="Header"/>
    </w:pPr>
    <w:r>
      <w:rPr>
        <w:noProof/>
      </w:rPr>
      <w:drawing>
        <wp:anchor distT="0" distB="0" distL="114300" distR="114300" simplePos="0" relativeHeight="251661312" behindDoc="1" locked="0" layoutInCell="1" allowOverlap="1" wp14:anchorId="764B2AD3" wp14:editId="3BBB89B7">
          <wp:simplePos x="0" y="0"/>
          <wp:positionH relativeFrom="column">
            <wp:posOffset>-951865</wp:posOffset>
          </wp:positionH>
          <wp:positionV relativeFrom="paragraph">
            <wp:posOffset>-180975</wp:posOffset>
          </wp:positionV>
          <wp:extent cx="7772400" cy="1079500"/>
          <wp:effectExtent l="0" t="0" r="0" b="0"/>
          <wp:wrapNone/>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pic:nvPicPr>
                <pic:blipFill>
                  <a:blip r:embed="rId1"/>
                  <a:stretch>
                    <a:fillRect/>
                  </a:stretch>
                </pic:blipFill>
                <pic:spPr>
                  <a:xfrm>
                    <a:off x="0" y="0"/>
                    <a:ext cx="7772400" cy="1079500"/>
                  </a:xfrm>
                  <a:prstGeom prst="rect">
                    <a:avLst/>
                  </a:prstGeom>
                </pic:spPr>
              </pic:pic>
            </a:graphicData>
          </a:graphic>
          <wp14:sizeRelH relativeFrom="page">
            <wp14:pctWidth>0</wp14:pctWidth>
          </wp14:sizeRelH>
          <wp14:sizeRelV relativeFrom="page">
            <wp14:pctHeight>0</wp14:pctHeight>
          </wp14:sizeRelV>
        </wp:anchor>
      </w:drawing>
    </w:r>
  </w:p>
  <w:p w14:paraId="1B8A28C4" w14:textId="77777777" w:rsidR="00474432" w:rsidRDefault="00474432" w:rsidP="00305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33D53"/>
    <w:multiLevelType w:val="hybridMultilevel"/>
    <w:tmpl w:val="076C0236"/>
    <w:lvl w:ilvl="0" w:tplc="1F3A643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A94672"/>
    <w:multiLevelType w:val="hybridMultilevel"/>
    <w:tmpl w:val="036A5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doni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doni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doni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81E4A"/>
    <w:multiLevelType w:val="hybridMultilevel"/>
    <w:tmpl w:val="661A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80D662C"/>
    <w:multiLevelType w:val="hybridMultilevel"/>
    <w:tmpl w:val="D8642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DE3D35"/>
    <w:multiLevelType w:val="hybridMultilevel"/>
    <w:tmpl w:val="B6FC7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doni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doni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doni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0771454">
    <w:abstractNumId w:val="0"/>
  </w:num>
  <w:num w:numId="2" w16cid:durableId="1769689738">
    <w:abstractNumId w:val="1"/>
  </w:num>
  <w:num w:numId="3" w16cid:durableId="961423616">
    <w:abstractNumId w:val="3"/>
  </w:num>
  <w:num w:numId="4" w16cid:durableId="1269507466">
    <w:abstractNumId w:val="4"/>
  </w:num>
  <w:num w:numId="5" w16cid:durableId="89550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59"/>
    <w:rsid w:val="00033F5B"/>
    <w:rsid w:val="0004222A"/>
    <w:rsid w:val="000477B9"/>
    <w:rsid w:val="0005402A"/>
    <w:rsid w:val="00082DA3"/>
    <w:rsid w:val="00087B99"/>
    <w:rsid w:val="00090CE8"/>
    <w:rsid w:val="00097677"/>
    <w:rsid w:val="000C6C12"/>
    <w:rsid w:val="000E044A"/>
    <w:rsid w:val="001250DA"/>
    <w:rsid w:val="0013133D"/>
    <w:rsid w:val="0013610F"/>
    <w:rsid w:val="0016173A"/>
    <w:rsid w:val="001A0220"/>
    <w:rsid w:val="001A596B"/>
    <w:rsid w:val="001F2327"/>
    <w:rsid w:val="001F7DF4"/>
    <w:rsid w:val="00204034"/>
    <w:rsid w:val="00226AD1"/>
    <w:rsid w:val="002419A8"/>
    <w:rsid w:val="00286C43"/>
    <w:rsid w:val="002A035E"/>
    <w:rsid w:val="002B2FF2"/>
    <w:rsid w:val="0030596C"/>
    <w:rsid w:val="00305C20"/>
    <w:rsid w:val="00353CA1"/>
    <w:rsid w:val="00365437"/>
    <w:rsid w:val="003A0454"/>
    <w:rsid w:val="003B1069"/>
    <w:rsid w:val="003B3867"/>
    <w:rsid w:val="003C531F"/>
    <w:rsid w:val="003E18FD"/>
    <w:rsid w:val="00416261"/>
    <w:rsid w:val="0045004A"/>
    <w:rsid w:val="00474432"/>
    <w:rsid w:val="004A57BD"/>
    <w:rsid w:val="004B0A52"/>
    <w:rsid w:val="004D4AAD"/>
    <w:rsid w:val="00526546"/>
    <w:rsid w:val="005301A3"/>
    <w:rsid w:val="00533858"/>
    <w:rsid w:val="00554381"/>
    <w:rsid w:val="00560474"/>
    <w:rsid w:val="00570491"/>
    <w:rsid w:val="00587005"/>
    <w:rsid w:val="005A4AD9"/>
    <w:rsid w:val="005D0C03"/>
    <w:rsid w:val="005F003E"/>
    <w:rsid w:val="00627BA8"/>
    <w:rsid w:val="00642B99"/>
    <w:rsid w:val="00642C5B"/>
    <w:rsid w:val="006A3452"/>
    <w:rsid w:val="006A5A27"/>
    <w:rsid w:val="006D397E"/>
    <w:rsid w:val="00704FF1"/>
    <w:rsid w:val="007317C3"/>
    <w:rsid w:val="00750FC3"/>
    <w:rsid w:val="00790933"/>
    <w:rsid w:val="007A24C0"/>
    <w:rsid w:val="007E556F"/>
    <w:rsid w:val="007F400B"/>
    <w:rsid w:val="00800DA2"/>
    <w:rsid w:val="00826B72"/>
    <w:rsid w:val="008271D7"/>
    <w:rsid w:val="00866862"/>
    <w:rsid w:val="008A2EF0"/>
    <w:rsid w:val="008E2DC0"/>
    <w:rsid w:val="008E3061"/>
    <w:rsid w:val="008E349B"/>
    <w:rsid w:val="008F2010"/>
    <w:rsid w:val="008F77A9"/>
    <w:rsid w:val="00911065"/>
    <w:rsid w:val="00945139"/>
    <w:rsid w:val="009548C6"/>
    <w:rsid w:val="00960991"/>
    <w:rsid w:val="009C5EAB"/>
    <w:rsid w:val="009D12F1"/>
    <w:rsid w:val="00A34EB5"/>
    <w:rsid w:val="00A45B88"/>
    <w:rsid w:val="00A77A19"/>
    <w:rsid w:val="00A77A66"/>
    <w:rsid w:val="00A963FB"/>
    <w:rsid w:val="00AA60ED"/>
    <w:rsid w:val="00AB66B2"/>
    <w:rsid w:val="00AC1EDC"/>
    <w:rsid w:val="00AC76CA"/>
    <w:rsid w:val="00AD6D9B"/>
    <w:rsid w:val="00AE0B9F"/>
    <w:rsid w:val="00AF3985"/>
    <w:rsid w:val="00AF635E"/>
    <w:rsid w:val="00AF65F8"/>
    <w:rsid w:val="00B06852"/>
    <w:rsid w:val="00B14CC7"/>
    <w:rsid w:val="00B21172"/>
    <w:rsid w:val="00B310B9"/>
    <w:rsid w:val="00BA22B2"/>
    <w:rsid w:val="00BC38AF"/>
    <w:rsid w:val="00BF1892"/>
    <w:rsid w:val="00C079F6"/>
    <w:rsid w:val="00C17B4B"/>
    <w:rsid w:val="00C90A59"/>
    <w:rsid w:val="00C97EAB"/>
    <w:rsid w:val="00CA2EE1"/>
    <w:rsid w:val="00CA5BFB"/>
    <w:rsid w:val="00CC0D15"/>
    <w:rsid w:val="00CC74EE"/>
    <w:rsid w:val="00D47199"/>
    <w:rsid w:val="00D5017E"/>
    <w:rsid w:val="00D52A0C"/>
    <w:rsid w:val="00D9722B"/>
    <w:rsid w:val="00DB1162"/>
    <w:rsid w:val="00DC19A9"/>
    <w:rsid w:val="00DC2BDF"/>
    <w:rsid w:val="00DC60D9"/>
    <w:rsid w:val="00DE11C6"/>
    <w:rsid w:val="00DF6F9F"/>
    <w:rsid w:val="00E02E4C"/>
    <w:rsid w:val="00E032BD"/>
    <w:rsid w:val="00E16849"/>
    <w:rsid w:val="00E240BB"/>
    <w:rsid w:val="00E33C92"/>
    <w:rsid w:val="00E468D1"/>
    <w:rsid w:val="00E67E73"/>
    <w:rsid w:val="00E84167"/>
    <w:rsid w:val="00E931E2"/>
    <w:rsid w:val="00EA378A"/>
    <w:rsid w:val="00EC078E"/>
    <w:rsid w:val="00EC4FFA"/>
    <w:rsid w:val="00EE3D03"/>
    <w:rsid w:val="00EF155C"/>
    <w:rsid w:val="00F07F8F"/>
    <w:rsid w:val="00F21000"/>
    <w:rsid w:val="00F355E8"/>
    <w:rsid w:val="00F37158"/>
    <w:rsid w:val="00F462E7"/>
    <w:rsid w:val="00F63447"/>
    <w:rsid w:val="00F72FA3"/>
    <w:rsid w:val="00F77EA0"/>
    <w:rsid w:val="00F8168F"/>
    <w:rsid w:val="00F847B4"/>
    <w:rsid w:val="00F94505"/>
    <w:rsid w:val="00FD7CF4"/>
    <w:rsid w:val="00FE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009F8"/>
  <w14:defaultImageDpi w14:val="300"/>
  <w15:chartTrackingRefBased/>
  <w15:docId w15:val="{DBE42E21-A09E-46FC-BAE4-AFE83A09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0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55E8"/>
    <w:pPr>
      <w:tabs>
        <w:tab w:val="center" w:pos="4320"/>
        <w:tab w:val="right" w:pos="8640"/>
      </w:tabs>
    </w:pPr>
  </w:style>
  <w:style w:type="paragraph" w:styleId="Footer">
    <w:name w:val="footer"/>
    <w:basedOn w:val="Normal"/>
    <w:link w:val="FooterChar"/>
    <w:rsid w:val="00F355E8"/>
    <w:pPr>
      <w:tabs>
        <w:tab w:val="center" w:pos="4320"/>
        <w:tab w:val="right" w:pos="8640"/>
      </w:tabs>
    </w:pPr>
    <w:rPr>
      <w:lang w:val="x-none" w:eastAsia="x-none"/>
    </w:rPr>
  </w:style>
  <w:style w:type="character" w:styleId="Hyperlink">
    <w:name w:val="Hyperlink"/>
    <w:rsid w:val="00F355E8"/>
    <w:rPr>
      <w:color w:val="0000FF"/>
      <w:u w:val="single"/>
    </w:rPr>
  </w:style>
  <w:style w:type="paragraph" w:customStyle="1" w:styleId="InsideAddressName">
    <w:name w:val="Inside Address Name"/>
    <w:basedOn w:val="Normal"/>
    <w:rsid w:val="000A3558"/>
  </w:style>
  <w:style w:type="paragraph" w:customStyle="1" w:styleId="InsideAddress">
    <w:name w:val="Inside Address"/>
    <w:basedOn w:val="Normal"/>
    <w:rsid w:val="000A3558"/>
  </w:style>
  <w:style w:type="paragraph" w:styleId="BodyTextIndent">
    <w:name w:val="Body Text Indent"/>
    <w:basedOn w:val="Normal"/>
    <w:rsid w:val="00147895"/>
    <w:pPr>
      <w:ind w:left="720" w:hanging="720"/>
    </w:pPr>
  </w:style>
  <w:style w:type="paragraph" w:styleId="BodyText2">
    <w:name w:val="Body Text 2"/>
    <w:basedOn w:val="Normal"/>
    <w:rsid w:val="00147895"/>
    <w:pPr>
      <w:spacing w:after="120" w:line="480" w:lineRule="auto"/>
    </w:pPr>
  </w:style>
  <w:style w:type="character" w:styleId="Emphasis">
    <w:name w:val="Emphasis"/>
    <w:qFormat/>
    <w:rsid w:val="00147895"/>
    <w:rPr>
      <w:b/>
      <w:bCs w:val="0"/>
      <w:i w:val="0"/>
      <w:iCs w:val="0"/>
      <w:spacing w:val="-10"/>
    </w:rPr>
  </w:style>
  <w:style w:type="paragraph" w:styleId="NormalWeb">
    <w:name w:val="Normal (Web)"/>
    <w:basedOn w:val="Normal"/>
    <w:rsid w:val="00147895"/>
    <w:pPr>
      <w:spacing w:before="100" w:beforeAutospacing="1" w:after="100" w:afterAutospacing="1"/>
    </w:pPr>
  </w:style>
  <w:style w:type="paragraph" w:styleId="DocumentMap">
    <w:name w:val="Document Map"/>
    <w:basedOn w:val="Normal"/>
    <w:semiHidden/>
    <w:rsid w:val="00147895"/>
    <w:pPr>
      <w:shd w:val="clear" w:color="auto" w:fill="000080"/>
    </w:pPr>
    <w:rPr>
      <w:rFonts w:ascii="Tahoma" w:hAnsi="Tahoma" w:cs="Tahoma"/>
      <w:sz w:val="20"/>
      <w:szCs w:val="20"/>
    </w:rPr>
  </w:style>
  <w:style w:type="paragraph" w:customStyle="1" w:styleId="style10">
    <w:name w:val="style10"/>
    <w:basedOn w:val="Normal"/>
    <w:rsid w:val="00147895"/>
    <w:pPr>
      <w:spacing w:before="100" w:beforeAutospacing="1" w:after="100" w:afterAutospacing="1"/>
    </w:pPr>
    <w:rPr>
      <w:rFonts w:ascii="Verdana" w:hAnsi="Verdana"/>
      <w:color w:val="333333"/>
      <w:sz w:val="20"/>
      <w:szCs w:val="20"/>
    </w:rPr>
  </w:style>
  <w:style w:type="character" w:styleId="Strong">
    <w:name w:val="Strong"/>
    <w:qFormat/>
    <w:rsid w:val="00147895"/>
    <w:rPr>
      <w:b/>
      <w:bCs/>
    </w:rPr>
  </w:style>
  <w:style w:type="character" w:customStyle="1" w:styleId="FooterChar">
    <w:name w:val="Footer Char"/>
    <w:link w:val="Footer"/>
    <w:rsid w:val="00C30DFB"/>
    <w:rPr>
      <w:sz w:val="24"/>
      <w:szCs w:val="24"/>
    </w:rPr>
  </w:style>
  <w:style w:type="character" w:styleId="PageNumber">
    <w:name w:val="page number"/>
    <w:rsid w:val="00E02E4C"/>
  </w:style>
  <w:style w:type="character" w:customStyle="1" w:styleId="HeaderChar">
    <w:name w:val="Header Char"/>
    <w:link w:val="Header"/>
    <w:uiPriority w:val="99"/>
    <w:rsid w:val="008F2010"/>
    <w:rPr>
      <w:sz w:val="24"/>
      <w:szCs w:val="24"/>
    </w:rPr>
  </w:style>
  <w:style w:type="paragraph" w:styleId="Revision">
    <w:name w:val="Revision"/>
    <w:hidden/>
    <w:rsid w:val="00750FC3"/>
    <w:rPr>
      <w:sz w:val="24"/>
      <w:szCs w:val="24"/>
    </w:rPr>
  </w:style>
  <w:style w:type="character" w:styleId="CommentReference">
    <w:name w:val="annotation reference"/>
    <w:basedOn w:val="DefaultParagraphFont"/>
    <w:rsid w:val="00226AD1"/>
    <w:rPr>
      <w:sz w:val="16"/>
      <w:szCs w:val="16"/>
    </w:rPr>
  </w:style>
  <w:style w:type="paragraph" w:styleId="CommentText">
    <w:name w:val="annotation text"/>
    <w:basedOn w:val="Normal"/>
    <w:link w:val="CommentTextChar"/>
    <w:rsid w:val="00226AD1"/>
    <w:rPr>
      <w:sz w:val="20"/>
      <w:szCs w:val="20"/>
    </w:rPr>
  </w:style>
  <w:style w:type="character" w:customStyle="1" w:styleId="CommentTextChar">
    <w:name w:val="Comment Text Char"/>
    <w:basedOn w:val="DefaultParagraphFont"/>
    <w:link w:val="CommentText"/>
    <w:rsid w:val="00226AD1"/>
  </w:style>
  <w:style w:type="paragraph" w:styleId="CommentSubject">
    <w:name w:val="annotation subject"/>
    <w:basedOn w:val="CommentText"/>
    <w:next w:val="CommentText"/>
    <w:link w:val="CommentSubjectChar"/>
    <w:rsid w:val="00226AD1"/>
    <w:rPr>
      <w:b/>
      <w:bCs/>
    </w:rPr>
  </w:style>
  <w:style w:type="character" w:customStyle="1" w:styleId="CommentSubjectChar">
    <w:name w:val="Comment Subject Char"/>
    <w:basedOn w:val="CommentTextChar"/>
    <w:link w:val="CommentSubject"/>
    <w:rsid w:val="00226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CBA5-1F54-455C-9B1F-D6CA27E9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NHP Foundation</Company>
  <LinksUpToDate>false</LinksUpToDate>
  <CharactersWithSpaces>12113</CharactersWithSpaces>
  <SharedDoc>false</SharedDoc>
  <HLinks>
    <vt:vector size="12" baseType="variant">
      <vt:variant>
        <vt:i4>4456568</vt:i4>
      </vt:variant>
      <vt:variant>
        <vt:i4>-1</vt:i4>
      </vt:variant>
      <vt:variant>
        <vt:i4>2061</vt:i4>
      </vt:variant>
      <vt:variant>
        <vt:i4>1</vt:i4>
      </vt:variant>
      <vt:variant>
        <vt:lpwstr>Stationary_Header_3</vt:lpwstr>
      </vt:variant>
      <vt:variant>
        <vt:lpwstr/>
      </vt:variant>
      <vt:variant>
        <vt:i4>4456547</vt:i4>
      </vt:variant>
      <vt:variant>
        <vt:i4>-1</vt:i4>
      </vt:variant>
      <vt:variant>
        <vt:i4>2062</vt:i4>
      </vt:variant>
      <vt:variant>
        <vt:i4>1</vt:i4>
      </vt:variant>
      <vt:variant>
        <vt:lpwstr>Stationary_Footer_2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Vaccaro</dc:creator>
  <cp:keywords/>
  <dc:description/>
  <cp:lastModifiedBy>Neal Rackleff</cp:lastModifiedBy>
  <cp:revision>6</cp:revision>
  <cp:lastPrinted>2008-11-07T15:10:00Z</cp:lastPrinted>
  <dcterms:created xsi:type="dcterms:W3CDTF">2022-08-01T18:35:00Z</dcterms:created>
  <dcterms:modified xsi:type="dcterms:W3CDTF">2022-08-01T18:40:00Z</dcterms:modified>
</cp:coreProperties>
</file>